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4027F2" w14:textId="77777777" w:rsidR="00325FB4" w:rsidRDefault="00325FB4">
      <w:pPr>
        <w:spacing w:after="160" w:line="259" w:lineRule="auto"/>
      </w:pPr>
    </w:p>
    <w:p w14:paraId="643E37F3" w14:textId="77777777" w:rsidR="00325FB4" w:rsidRDefault="00325FB4">
      <w:pPr>
        <w:spacing w:after="160" w:line="259" w:lineRule="auto"/>
      </w:pPr>
    </w:p>
    <w:p w14:paraId="7BD60D49" w14:textId="56A63EB8" w:rsidR="00325FB4" w:rsidRDefault="00325FB4">
      <w:pPr>
        <w:spacing w:after="160" w:line="259" w:lineRule="auto"/>
      </w:pPr>
    </w:p>
    <w:p w14:paraId="42C0FF45" w14:textId="77777777" w:rsidR="00325FB4" w:rsidRDefault="00325FB4">
      <w:pPr>
        <w:spacing w:after="160" w:line="259" w:lineRule="auto"/>
      </w:pPr>
    </w:p>
    <w:p w14:paraId="773DA347" w14:textId="77777777" w:rsidR="00325FB4" w:rsidRDefault="00325FB4">
      <w:pPr>
        <w:spacing w:after="160" w:line="259" w:lineRule="auto"/>
      </w:pPr>
    </w:p>
    <w:p w14:paraId="30A931FA" w14:textId="77777777" w:rsidR="00325FB4" w:rsidRDefault="00325FB4">
      <w:pPr>
        <w:spacing w:after="160" w:line="259" w:lineRule="auto"/>
      </w:pPr>
    </w:p>
    <w:p w14:paraId="1F49657A" w14:textId="77777777" w:rsidR="00325FB4" w:rsidRDefault="00325FB4">
      <w:pPr>
        <w:spacing w:after="160" w:line="259" w:lineRule="auto"/>
      </w:pPr>
    </w:p>
    <w:p w14:paraId="5DC6BD5B" w14:textId="7BDC89FA" w:rsidR="00325FB4" w:rsidRPr="00325FB4" w:rsidRDefault="00325FB4" w:rsidP="00325FB4">
      <w:pPr>
        <w:pStyle w:val="Heading2"/>
        <w:spacing w:before="0"/>
        <w:rPr>
          <w:rFonts w:eastAsia="Arial"/>
          <w:b/>
          <w:sz w:val="36"/>
          <w:szCs w:val="36"/>
        </w:rPr>
      </w:pPr>
      <w:r w:rsidRPr="00325FB4">
        <w:rPr>
          <w:rFonts w:eastAsia="Arial"/>
          <w:b/>
          <w:sz w:val="36"/>
          <w:szCs w:val="36"/>
        </w:rPr>
        <w:t>Secure Acquisition</w:t>
      </w:r>
    </w:p>
    <w:p w14:paraId="2C5B2334" w14:textId="77777777" w:rsidR="00325FB4" w:rsidRPr="00325FB4" w:rsidRDefault="00325FB4" w:rsidP="00325FB4">
      <w:pPr>
        <w:keepNext/>
        <w:keepLines/>
        <w:spacing w:before="40" w:after="158"/>
        <w:ind w:left="-4"/>
        <w:outlineLvl w:val="1"/>
        <w:rPr>
          <w:rFonts w:asciiTheme="majorHAnsi" w:eastAsiaTheme="majorEastAsia" w:hAnsiTheme="majorHAnsi" w:cstheme="majorBidi"/>
          <w:b/>
          <w:color w:val="2E74B5" w:themeColor="accent1" w:themeShade="BF"/>
          <w:sz w:val="36"/>
          <w:szCs w:val="36"/>
        </w:rPr>
      </w:pPr>
      <w:r w:rsidRPr="00325FB4">
        <w:rPr>
          <w:rFonts w:asciiTheme="majorHAnsi" w:eastAsiaTheme="majorEastAsia" w:hAnsiTheme="majorHAnsi" w:cstheme="majorBidi"/>
          <w:b/>
          <w:color w:val="2D74B5"/>
          <w:sz w:val="36"/>
          <w:szCs w:val="36"/>
        </w:rPr>
        <w:t>Case 2: Acquisition/SCRM Project Risk Analysis</w:t>
      </w:r>
    </w:p>
    <w:p w14:paraId="37133866" w14:textId="77777777" w:rsidR="00325FB4" w:rsidRDefault="00325FB4">
      <w:pPr>
        <w:spacing w:after="160" w:line="259" w:lineRule="auto"/>
      </w:pPr>
    </w:p>
    <w:p w14:paraId="541F8030" w14:textId="77777777" w:rsidR="00325FB4" w:rsidRDefault="00325FB4">
      <w:pPr>
        <w:spacing w:after="160" w:line="259" w:lineRule="auto"/>
      </w:pPr>
    </w:p>
    <w:p w14:paraId="391A7604" w14:textId="77777777" w:rsidR="00325FB4" w:rsidRDefault="00325FB4">
      <w:pPr>
        <w:spacing w:after="160" w:line="259" w:lineRule="auto"/>
      </w:pPr>
    </w:p>
    <w:p w14:paraId="5889A98D" w14:textId="77777777" w:rsidR="00325FB4" w:rsidRDefault="00325FB4">
      <w:pPr>
        <w:spacing w:after="160" w:line="259" w:lineRule="auto"/>
      </w:pPr>
    </w:p>
    <w:p w14:paraId="42BCE6DC" w14:textId="77777777" w:rsidR="00325FB4" w:rsidRDefault="00325FB4">
      <w:pPr>
        <w:spacing w:after="160" w:line="259" w:lineRule="auto"/>
      </w:pPr>
    </w:p>
    <w:p w14:paraId="593D3F36" w14:textId="5968DB8B" w:rsidR="00325FB4" w:rsidRPr="00325FB4" w:rsidRDefault="00325FB4">
      <w:pPr>
        <w:spacing w:after="160" w:line="259" w:lineRule="auto"/>
        <w:rPr>
          <w:rFonts w:asciiTheme="minorHAnsi" w:hAnsiTheme="minorHAnsi" w:cstheme="minorHAnsi"/>
          <w:b/>
          <w:bCs/>
        </w:rPr>
      </w:pPr>
      <w:r w:rsidRPr="00325FB4">
        <w:rPr>
          <w:rFonts w:asciiTheme="minorHAnsi" w:hAnsiTheme="minorHAnsi" w:cstheme="minorHAnsi"/>
          <w:b/>
          <w:bCs/>
        </w:rPr>
        <w:t>January 2020</w:t>
      </w:r>
      <w:r w:rsidRPr="00325FB4">
        <w:rPr>
          <w:rFonts w:asciiTheme="minorHAnsi" w:hAnsiTheme="minorHAnsi" w:cstheme="minorHAnsi"/>
          <w:b/>
          <w:bCs/>
        </w:rPr>
        <w:br w:type="page"/>
      </w:r>
    </w:p>
    <w:p w14:paraId="4D6B38A9" w14:textId="2D3DE144" w:rsidR="00325FB4" w:rsidRPr="00325FB4" w:rsidRDefault="00325FB4" w:rsidP="00325FB4">
      <w:pPr>
        <w:rPr>
          <w:sz w:val="24"/>
          <w:szCs w:val="24"/>
        </w:rPr>
      </w:pPr>
      <w:r w:rsidRPr="00325FB4">
        <w:rPr>
          <w:sz w:val="24"/>
          <w:szCs w:val="24"/>
        </w:rPr>
        <w:lastRenderedPageBreak/>
        <w:t>Copyright 20</w:t>
      </w:r>
      <w:r w:rsidR="00505CCF">
        <w:rPr>
          <w:sz w:val="24"/>
          <w:szCs w:val="24"/>
        </w:rPr>
        <w:t>2</w:t>
      </w:r>
      <w:r w:rsidRPr="00325FB4">
        <w:rPr>
          <w:sz w:val="24"/>
          <w:szCs w:val="24"/>
        </w:rPr>
        <w:t xml:space="preserve">0 </w:t>
      </w:r>
      <w:r>
        <w:rPr>
          <w:sz w:val="24"/>
          <w:szCs w:val="24"/>
        </w:rPr>
        <w:t>The University of Detroit Mercy</w:t>
      </w:r>
      <w:r w:rsidRPr="00325FB4">
        <w:rPr>
          <w:sz w:val="24"/>
          <w:szCs w:val="24"/>
        </w:rPr>
        <w:t xml:space="preserve">. </w:t>
      </w:r>
    </w:p>
    <w:p w14:paraId="25697C18" w14:textId="77777777" w:rsidR="00325FB4" w:rsidRPr="00325FB4" w:rsidRDefault="00325FB4" w:rsidP="00325FB4">
      <w:pPr>
        <w:rPr>
          <w:sz w:val="24"/>
          <w:szCs w:val="24"/>
        </w:rPr>
      </w:pPr>
    </w:p>
    <w:p w14:paraId="5ACA703F" w14:textId="77777777" w:rsidR="00325FB4" w:rsidRPr="00325FB4" w:rsidRDefault="00325FB4" w:rsidP="00325FB4">
      <w:pPr>
        <w:rPr>
          <w:sz w:val="24"/>
          <w:szCs w:val="24"/>
        </w:rPr>
      </w:pPr>
      <w:r w:rsidRPr="00325FB4">
        <w:rPr>
          <w:sz w:val="24"/>
          <w:szCs w:val="24"/>
        </w:rPr>
        <w:t xml:space="preserve">NO WARRANTY </w:t>
      </w:r>
    </w:p>
    <w:p w14:paraId="2340FE53" w14:textId="0756D0CD" w:rsidR="00325FB4" w:rsidRPr="00325FB4" w:rsidRDefault="00325FB4" w:rsidP="00325FB4">
      <w:pPr>
        <w:rPr>
          <w:sz w:val="24"/>
          <w:szCs w:val="24"/>
        </w:rPr>
      </w:pPr>
      <w:r w:rsidRPr="00325FB4">
        <w:rPr>
          <w:sz w:val="24"/>
          <w:szCs w:val="24"/>
        </w:rPr>
        <w:t xml:space="preserve">THIS </w:t>
      </w:r>
      <w:r>
        <w:rPr>
          <w:sz w:val="24"/>
          <w:szCs w:val="24"/>
        </w:rPr>
        <w:t>UNIVERSITY OF DETROIT MERCY</w:t>
      </w:r>
      <w:r w:rsidRPr="00325FB4">
        <w:rPr>
          <w:sz w:val="24"/>
          <w:szCs w:val="24"/>
        </w:rPr>
        <w:t xml:space="preserve"> AND SOFTWARE ENGINEERING INSTITUTE MATERIAL IS FURNISHED ON AN "AS-IS" BASIS. </w:t>
      </w:r>
      <w:r>
        <w:rPr>
          <w:sz w:val="24"/>
          <w:szCs w:val="24"/>
        </w:rPr>
        <w:t xml:space="preserve">THE </w:t>
      </w:r>
      <w:r w:rsidRPr="00325FB4">
        <w:rPr>
          <w:sz w:val="24"/>
          <w:szCs w:val="24"/>
        </w:rPr>
        <w:t xml:space="preserve">UNIVERSITY </w:t>
      </w:r>
      <w:r>
        <w:rPr>
          <w:sz w:val="24"/>
          <w:szCs w:val="24"/>
        </w:rPr>
        <w:t xml:space="preserve">OF DETROIT MERCY </w:t>
      </w:r>
      <w:r w:rsidRPr="00325FB4">
        <w:rPr>
          <w:sz w:val="24"/>
          <w:szCs w:val="24"/>
        </w:rPr>
        <w:t xml:space="preserve">MAKES NO WARRANTIES OF ANY KIND, EITHER EXPRESSED OR IMPLIED, AS TO ANY MATTER INCLUDING, BUT NOT LIMITED TO, WARRANTY OF FITNESS FOR PURPOSE OR MERCHANTABILITY, EXCLUSIVITY, OR RESULTS OBTAINED FROM USE OF THE MATERIAL. </w:t>
      </w:r>
      <w:r>
        <w:rPr>
          <w:sz w:val="24"/>
          <w:szCs w:val="24"/>
        </w:rPr>
        <w:t xml:space="preserve">THE </w:t>
      </w:r>
      <w:r w:rsidRPr="00325FB4">
        <w:rPr>
          <w:sz w:val="24"/>
          <w:szCs w:val="24"/>
        </w:rPr>
        <w:t xml:space="preserve">UNIVERSITY </w:t>
      </w:r>
      <w:r>
        <w:rPr>
          <w:sz w:val="24"/>
          <w:szCs w:val="24"/>
        </w:rPr>
        <w:t xml:space="preserve">OF DETROIT MERCY </w:t>
      </w:r>
      <w:r w:rsidRPr="00325FB4">
        <w:rPr>
          <w:sz w:val="24"/>
          <w:szCs w:val="24"/>
        </w:rPr>
        <w:t xml:space="preserve">DOES NOT MAKE ANY WARRANTY OF ANY KIND WITH RESPECT TO FREEDOM FROM PATENT, TRADEMARK, OR COPYRIGHT INFRINGEMENT. </w:t>
      </w:r>
    </w:p>
    <w:p w14:paraId="703D36B5" w14:textId="77777777" w:rsidR="00325FB4" w:rsidRDefault="00325FB4" w:rsidP="00325FB4">
      <w:pPr>
        <w:rPr>
          <w:sz w:val="24"/>
          <w:szCs w:val="24"/>
        </w:rPr>
      </w:pPr>
    </w:p>
    <w:p w14:paraId="0F697D0A" w14:textId="6FAA3842" w:rsidR="00325FB4" w:rsidRPr="00325FB4" w:rsidRDefault="00325FB4" w:rsidP="00325FB4">
      <w:pPr>
        <w:rPr>
          <w:sz w:val="24"/>
          <w:szCs w:val="24"/>
        </w:rPr>
      </w:pPr>
      <w:r w:rsidRPr="00325FB4">
        <w:rPr>
          <w:sz w:val="24"/>
          <w:szCs w:val="24"/>
        </w:rPr>
        <w:t xml:space="preserve">Use of any trademarks in this report is not intended in any way to infringe on the rights of the trademark holder. </w:t>
      </w:r>
    </w:p>
    <w:p w14:paraId="059A50CB" w14:textId="77777777" w:rsidR="00325FB4" w:rsidRDefault="00325FB4" w:rsidP="00325FB4">
      <w:pPr>
        <w:rPr>
          <w:sz w:val="24"/>
          <w:szCs w:val="24"/>
        </w:rPr>
      </w:pPr>
    </w:p>
    <w:p w14:paraId="5CEE95AA" w14:textId="7768ABF8" w:rsidR="00325FB4" w:rsidRPr="00325FB4" w:rsidRDefault="00325FB4" w:rsidP="00325FB4">
      <w:pPr>
        <w:rPr>
          <w:sz w:val="24"/>
          <w:szCs w:val="24"/>
        </w:rPr>
      </w:pPr>
      <w:r w:rsidRPr="00325FB4">
        <w:rPr>
          <w:sz w:val="24"/>
          <w:szCs w:val="24"/>
        </w:rPr>
        <w:t>Internal use. Permission to reproduce this document and to prepare derivative works from this document for internal use is granted, provided the copyright and “No Warranty” statements are included with all reproductions and derivative works.</w:t>
      </w:r>
    </w:p>
    <w:p w14:paraId="634D727B" w14:textId="77777777" w:rsidR="00325FB4" w:rsidRDefault="00325FB4" w:rsidP="00325FB4">
      <w:pPr>
        <w:rPr>
          <w:sz w:val="24"/>
          <w:szCs w:val="24"/>
        </w:rPr>
      </w:pPr>
    </w:p>
    <w:p w14:paraId="0772F766" w14:textId="0C1A2D6D" w:rsidR="00A9595C" w:rsidRPr="00325FB4" w:rsidRDefault="00325FB4" w:rsidP="00325FB4">
      <w:pPr>
        <w:rPr>
          <w:sz w:val="24"/>
          <w:szCs w:val="24"/>
        </w:rPr>
      </w:pPr>
      <w:r w:rsidRPr="00325FB4">
        <w:rPr>
          <w:sz w:val="24"/>
          <w:szCs w:val="24"/>
        </w:rPr>
        <w:t>External use. This document may be reproduced in its entirety, without modification, and freely distributed in written or electronic form without requesting formal permission. Permission is required for any other external and/or commercial use. Requests for permission should be directed to the Software Engineering Institute at permission@sei.cmu.edu.</w:t>
      </w:r>
    </w:p>
    <w:p w14:paraId="5531173C" w14:textId="77777777" w:rsidR="00A9595C" w:rsidRPr="00325FB4" w:rsidRDefault="00A9595C" w:rsidP="00A9595C">
      <w:pPr>
        <w:pStyle w:val="Heading2"/>
        <w:spacing w:before="0"/>
        <w:rPr>
          <w:rFonts w:eastAsia="Arial"/>
          <w:b/>
          <w:sz w:val="32"/>
          <w:szCs w:val="32"/>
        </w:rPr>
      </w:pPr>
    </w:p>
    <w:p w14:paraId="6DE176C4" w14:textId="77777777" w:rsidR="00325FB4" w:rsidRDefault="00325FB4">
      <w:pPr>
        <w:spacing w:after="160" w:line="259" w:lineRule="auto"/>
        <w:rPr>
          <w:rFonts w:asciiTheme="minorHAnsi" w:eastAsia="Arial" w:hAnsiTheme="minorHAnsi"/>
          <w:b/>
          <w:bCs/>
          <w:sz w:val="24"/>
          <w:szCs w:val="22"/>
        </w:rPr>
      </w:pPr>
      <w:r>
        <w:rPr>
          <w:rFonts w:asciiTheme="minorHAnsi" w:eastAsia="Arial" w:hAnsiTheme="minorHAnsi"/>
          <w:b/>
          <w:bCs/>
          <w:sz w:val="24"/>
          <w:szCs w:val="22"/>
        </w:rPr>
        <w:br w:type="page"/>
      </w:r>
    </w:p>
    <w:p w14:paraId="7356F03D" w14:textId="3C6950ED" w:rsidR="00D82BA3" w:rsidRPr="00325FB4" w:rsidRDefault="00D82BA3" w:rsidP="00D82BA3">
      <w:pPr>
        <w:rPr>
          <w:rFonts w:asciiTheme="minorHAnsi" w:eastAsia="Arial" w:hAnsiTheme="minorHAnsi"/>
          <w:b/>
          <w:bCs/>
          <w:sz w:val="24"/>
          <w:szCs w:val="22"/>
        </w:rPr>
      </w:pPr>
      <w:r w:rsidRPr="00325FB4">
        <w:rPr>
          <w:rFonts w:asciiTheme="minorHAnsi" w:eastAsia="Arial" w:hAnsiTheme="minorHAnsi"/>
          <w:b/>
          <w:bCs/>
          <w:sz w:val="24"/>
          <w:szCs w:val="22"/>
        </w:rPr>
        <w:lastRenderedPageBreak/>
        <w:t xml:space="preserve">Case 2: Acquisition/SCRM Project Risk Analysis </w:t>
      </w:r>
    </w:p>
    <w:p w14:paraId="694B569C" w14:textId="54C4C358" w:rsidR="00D82BA3" w:rsidRPr="00D82BA3" w:rsidRDefault="00D82BA3" w:rsidP="00D82BA3">
      <w:pPr>
        <w:rPr>
          <w:rFonts w:asciiTheme="minorHAnsi" w:eastAsia="Arial" w:hAnsiTheme="minorHAnsi"/>
          <w:sz w:val="24"/>
          <w:szCs w:val="22"/>
        </w:rPr>
      </w:pPr>
      <w:r w:rsidRPr="00D82BA3">
        <w:rPr>
          <w:rFonts w:asciiTheme="minorHAnsi" w:eastAsia="Arial" w:hAnsiTheme="minorHAnsi"/>
          <w:sz w:val="24"/>
          <w:szCs w:val="22"/>
        </w:rPr>
        <w:t xml:space="preserve">Utilize the forms taken from NISTIR 7622 </w:t>
      </w:r>
      <w:r w:rsidR="00F96E4F">
        <w:rPr>
          <w:rFonts w:asciiTheme="minorHAnsi" w:eastAsia="Arial" w:hAnsiTheme="minorHAnsi"/>
          <w:sz w:val="24"/>
          <w:szCs w:val="22"/>
        </w:rPr>
        <w:t>document</w:t>
      </w:r>
      <w:r w:rsidRPr="00D82BA3">
        <w:rPr>
          <w:rFonts w:asciiTheme="minorHAnsi" w:eastAsia="Arial" w:hAnsiTheme="minorHAnsi"/>
          <w:sz w:val="24"/>
          <w:szCs w:val="22"/>
        </w:rPr>
        <w:t xml:space="preserve">. </w:t>
      </w:r>
      <w:r w:rsidR="00505CCF">
        <w:rPr>
          <w:rFonts w:asciiTheme="minorHAnsi" w:eastAsia="Arial" w:hAnsiTheme="minorHAnsi"/>
          <w:sz w:val="24"/>
          <w:szCs w:val="22"/>
        </w:rPr>
        <w:t xml:space="preserve"> </w:t>
      </w:r>
      <w:r w:rsidRPr="00D82BA3">
        <w:rPr>
          <w:rFonts w:asciiTheme="minorHAnsi" w:eastAsia="Arial" w:hAnsiTheme="minorHAnsi"/>
          <w:sz w:val="24"/>
          <w:szCs w:val="22"/>
        </w:rPr>
        <w:t xml:space="preserve">Identify and assess risks against the Base Practices for that Community of Practice to obtain an overall risk rating for each participant in the supply chain. The risk rating can be used to prioritize the risks. To facilitate this process, it is useful to use a generic checklist as a stimulus to identify what risks may affect components or participants. This is provided for this course.  </w:t>
      </w:r>
    </w:p>
    <w:p w14:paraId="0A4681A8" w14:textId="77777777" w:rsidR="00D82BA3" w:rsidRPr="00D82BA3" w:rsidRDefault="00D82BA3" w:rsidP="00D82BA3">
      <w:pPr>
        <w:rPr>
          <w:rFonts w:asciiTheme="minorHAnsi" w:eastAsia="Arial" w:hAnsiTheme="minorHAnsi"/>
          <w:sz w:val="24"/>
          <w:szCs w:val="22"/>
        </w:rPr>
      </w:pPr>
      <w:r w:rsidRPr="00D82BA3">
        <w:rPr>
          <w:rFonts w:asciiTheme="minorHAnsi" w:eastAsia="Arial" w:hAnsiTheme="minorHAnsi"/>
          <w:sz w:val="24"/>
          <w:szCs w:val="22"/>
        </w:rPr>
        <w:t xml:space="preserve"> </w:t>
      </w:r>
    </w:p>
    <w:p w14:paraId="4DE8BB7C" w14:textId="3C35E077" w:rsidR="00E8339C" w:rsidRPr="00A83531" w:rsidRDefault="00D82BA3" w:rsidP="00D82BA3">
      <w:pPr>
        <w:rPr>
          <w:rFonts w:asciiTheme="minorHAnsi" w:eastAsia="Arial" w:hAnsiTheme="minorHAnsi"/>
          <w:sz w:val="24"/>
          <w:szCs w:val="22"/>
        </w:rPr>
      </w:pPr>
      <w:r w:rsidRPr="00D82BA3">
        <w:rPr>
          <w:rFonts w:asciiTheme="minorHAnsi" w:eastAsia="Arial" w:hAnsiTheme="minorHAnsi"/>
          <w:sz w:val="24"/>
          <w:szCs w:val="22"/>
        </w:rPr>
        <w:t xml:space="preserve">Examine the portion of the project you have chosen to control. Use the </w:t>
      </w:r>
      <w:r w:rsidR="005830BE">
        <w:rPr>
          <w:rFonts w:asciiTheme="minorHAnsi" w:eastAsia="Arial" w:hAnsiTheme="minorHAnsi"/>
          <w:i/>
          <w:iCs/>
          <w:sz w:val="24"/>
          <w:szCs w:val="22"/>
        </w:rPr>
        <w:t>Capability</w:t>
      </w:r>
      <w:r w:rsidR="007E7882" w:rsidRPr="007E7882">
        <w:rPr>
          <w:rFonts w:asciiTheme="minorHAnsi" w:eastAsia="Arial" w:hAnsiTheme="minorHAnsi"/>
          <w:i/>
          <w:iCs/>
          <w:sz w:val="24"/>
          <w:szCs w:val="22"/>
        </w:rPr>
        <w:t xml:space="preserve"> Maturity </w:t>
      </w:r>
      <w:r w:rsidR="00855E9C">
        <w:rPr>
          <w:rFonts w:asciiTheme="minorHAnsi" w:eastAsia="Arial" w:hAnsiTheme="minorHAnsi"/>
          <w:i/>
          <w:iCs/>
          <w:sz w:val="24"/>
          <w:szCs w:val="22"/>
        </w:rPr>
        <w:t xml:space="preserve">Assessment </w:t>
      </w:r>
      <w:r w:rsidR="007E7882" w:rsidRPr="007E7882">
        <w:rPr>
          <w:rFonts w:asciiTheme="minorHAnsi" w:eastAsia="Arial" w:hAnsiTheme="minorHAnsi"/>
          <w:i/>
          <w:iCs/>
          <w:sz w:val="24"/>
          <w:szCs w:val="22"/>
        </w:rPr>
        <w:t>Checklist</w:t>
      </w:r>
      <w:r w:rsidRPr="00D82BA3">
        <w:rPr>
          <w:rFonts w:asciiTheme="minorHAnsi" w:eastAsia="Arial" w:hAnsiTheme="minorHAnsi"/>
          <w:sz w:val="24"/>
          <w:szCs w:val="22"/>
        </w:rPr>
        <w:t xml:space="preserve"> provided to evaluate the current status of the relevant community of practice. Then develop mitigation strategies and timelines to address the risk where the level of risk is not acceptable.  </w:t>
      </w:r>
    </w:p>
    <w:p w14:paraId="746D5963" w14:textId="77777777" w:rsidR="006006D2" w:rsidRDefault="006006D2"/>
    <w:p w14:paraId="220B26E6" w14:textId="4CAF6ED5" w:rsidR="005965C4" w:rsidRPr="00350565" w:rsidRDefault="005965C4" w:rsidP="005965C4">
      <w:pPr>
        <w:ind w:left="720"/>
        <w:rPr>
          <w:rFonts w:ascii="Calibri" w:eastAsia="Arial" w:hAnsi="Calibri" w:cs="Calibri"/>
          <w:b/>
          <w:i/>
          <w:color w:val="0070C0"/>
          <w:sz w:val="24"/>
          <w:szCs w:val="24"/>
        </w:rPr>
      </w:pPr>
      <w:r w:rsidRPr="00350565">
        <w:rPr>
          <w:rFonts w:ascii="Calibri" w:eastAsia="Arial" w:hAnsi="Calibri" w:cs="Calibri"/>
          <w:b/>
          <w:i/>
          <w:color w:val="0070C0"/>
          <w:sz w:val="24"/>
          <w:szCs w:val="22"/>
        </w:rPr>
        <w:t xml:space="preserve">For this case we are addressing </w:t>
      </w:r>
      <w:r w:rsidR="00F96E4F">
        <w:rPr>
          <w:rFonts w:ascii="Calibri" w:eastAsia="Arial" w:hAnsi="Calibri" w:cs="Calibri"/>
          <w:b/>
          <w:i/>
          <w:color w:val="0070C0"/>
          <w:sz w:val="24"/>
          <w:szCs w:val="22"/>
        </w:rPr>
        <w:t>Detroit Defense’s</w:t>
      </w:r>
      <w:r w:rsidRPr="00350565">
        <w:rPr>
          <w:rFonts w:ascii="Calibri" w:eastAsia="Arial" w:hAnsi="Calibri" w:cs="Calibri"/>
          <w:b/>
          <w:i/>
          <w:color w:val="0070C0"/>
          <w:sz w:val="24"/>
          <w:szCs w:val="22"/>
        </w:rPr>
        <w:t xml:space="preserve"> need to upgrade </w:t>
      </w:r>
      <w:r w:rsidR="00F96E4F">
        <w:rPr>
          <w:rFonts w:ascii="Calibri" w:eastAsia="Arial" w:hAnsi="Calibri" w:cs="Calibri"/>
          <w:b/>
          <w:i/>
          <w:color w:val="0070C0"/>
          <w:sz w:val="24"/>
          <w:szCs w:val="22"/>
        </w:rPr>
        <w:t xml:space="preserve">their </w:t>
      </w:r>
      <w:r w:rsidRPr="00350565">
        <w:rPr>
          <w:rFonts w:ascii="Calibri" w:eastAsia="Arial" w:hAnsi="Calibri" w:cs="Calibri"/>
          <w:b/>
          <w:i/>
          <w:color w:val="0070C0"/>
          <w:sz w:val="24"/>
          <w:szCs w:val="22"/>
        </w:rPr>
        <w:t xml:space="preserve">F-16F aircraft.  Specifically as it pertains to updating the current navigation system with an Advanced Global Positioning System (GPS) capability.  For this effort the GPS model chosen for this aircraft has been previously utilized in a similar application for the fire control system for the </w:t>
      </w:r>
      <w:r w:rsidR="00F96E4F">
        <w:rPr>
          <w:rFonts w:ascii="Calibri" w:eastAsia="Arial" w:hAnsi="Calibri" w:cs="Calibri"/>
          <w:b/>
          <w:i/>
          <w:color w:val="0070C0"/>
          <w:sz w:val="24"/>
          <w:szCs w:val="22"/>
        </w:rPr>
        <w:t>military’s</w:t>
      </w:r>
      <w:r w:rsidRPr="00350565">
        <w:rPr>
          <w:rFonts w:ascii="Calibri" w:eastAsia="Arial" w:hAnsi="Calibri" w:cs="Calibri"/>
          <w:b/>
          <w:i/>
          <w:color w:val="0070C0"/>
          <w:sz w:val="24"/>
          <w:szCs w:val="22"/>
        </w:rPr>
        <w:t xml:space="preserve"> AH64D (Apache Longbow helicopter).  </w:t>
      </w:r>
      <w:r w:rsidRPr="00350565">
        <w:rPr>
          <w:rFonts w:ascii="Calibri" w:eastAsia="Arial" w:hAnsi="Calibri" w:cs="Calibri"/>
          <w:b/>
          <w:i/>
          <w:color w:val="0070C0"/>
          <w:sz w:val="24"/>
          <w:szCs w:val="24"/>
        </w:rPr>
        <w:t>Consequently, it is considered to be a Commercial off the Shelf (COTS) application.</w:t>
      </w:r>
    </w:p>
    <w:p w14:paraId="20E009D1" w14:textId="77777777" w:rsidR="005965C4" w:rsidRPr="005965C4" w:rsidRDefault="005965C4">
      <w:pPr>
        <w:rPr>
          <w:rFonts w:ascii="Calibri" w:hAnsi="Calibri" w:cs="Calibri"/>
          <w:sz w:val="24"/>
          <w:szCs w:val="24"/>
        </w:rPr>
      </w:pPr>
    </w:p>
    <w:p w14:paraId="4DE55C9C" w14:textId="3D91A59A" w:rsidR="00764B7F" w:rsidRDefault="00350565" w:rsidP="00350565">
      <w:pPr>
        <w:ind w:left="720"/>
        <w:rPr>
          <w:rFonts w:ascii="Calibri" w:hAnsi="Calibri" w:cs="Calibri"/>
          <w:b/>
          <w:color w:val="0070C0"/>
          <w:sz w:val="24"/>
          <w:szCs w:val="24"/>
        </w:rPr>
      </w:pPr>
      <w:r>
        <w:rPr>
          <w:rFonts w:ascii="Calibri" w:hAnsi="Calibri" w:cs="Calibri"/>
          <w:b/>
          <w:color w:val="0070C0"/>
          <w:sz w:val="24"/>
          <w:szCs w:val="24"/>
        </w:rPr>
        <w:t>During the course of our examination of the Prime Contractor (</w:t>
      </w:r>
      <w:r w:rsidRPr="00350565">
        <w:rPr>
          <w:rFonts w:ascii="Calibri" w:hAnsi="Calibri" w:cs="Calibri"/>
          <w:b/>
          <w:color w:val="0070C0"/>
          <w:sz w:val="24"/>
          <w:szCs w:val="24"/>
        </w:rPr>
        <w:t>Wild Blue Yonder Technologies Inc (WYBT)</w:t>
      </w:r>
      <w:r>
        <w:rPr>
          <w:rFonts w:ascii="Calibri" w:hAnsi="Calibri" w:cs="Calibri"/>
          <w:b/>
          <w:color w:val="0070C0"/>
          <w:sz w:val="24"/>
          <w:szCs w:val="24"/>
        </w:rPr>
        <w:t xml:space="preserve"> and the Sub-Contractors for this effort we have identified the following risk scores</w:t>
      </w:r>
      <w:r>
        <w:rPr>
          <w:rStyle w:val="FootnoteReference"/>
          <w:rFonts w:ascii="Calibri" w:hAnsi="Calibri" w:cs="Calibri"/>
          <w:b/>
          <w:color w:val="0070C0"/>
          <w:sz w:val="24"/>
          <w:szCs w:val="24"/>
        </w:rPr>
        <w:footnoteReference w:id="1"/>
      </w:r>
    </w:p>
    <w:p w14:paraId="178AC9E2" w14:textId="77777777" w:rsidR="00D72287" w:rsidRDefault="00D72287" w:rsidP="00350565">
      <w:pPr>
        <w:ind w:left="720"/>
        <w:rPr>
          <w:rFonts w:ascii="Calibri" w:hAnsi="Calibri" w:cs="Calibri"/>
          <w:b/>
          <w:color w:val="0070C0"/>
          <w:sz w:val="24"/>
          <w:szCs w:val="24"/>
        </w:rPr>
      </w:pPr>
    </w:p>
    <w:p w14:paraId="731EA3A9" w14:textId="41CF4C6A" w:rsidR="00350565" w:rsidRDefault="00350565" w:rsidP="00350565">
      <w:pPr>
        <w:ind w:left="720"/>
        <w:rPr>
          <w:noProof/>
        </w:rPr>
      </w:pPr>
    </w:p>
    <w:p w14:paraId="48B36349" w14:textId="4350B548" w:rsidR="002C34BA" w:rsidRDefault="002C34BA" w:rsidP="002C34BA">
      <w:pPr>
        <w:ind w:left="-360" w:right="-360"/>
        <w:rPr>
          <w:rFonts w:ascii="Calibri" w:hAnsi="Calibri" w:cs="Calibri"/>
          <w:b/>
          <w:color w:val="0070C0"/>
          <w:sz w:val="24"/>
          <w:szCs w:val="24"/>
        </w:rPr>
      </w:pPr>
      <w:r w:rsidRPr="002C34BA">
        <w:drawing>
          <wp:inline distT="0" distB="0" distL="0" distR="0" wp14:anchorId="76C44058" wp14:editId="24459AEF">
            <wp:extent cx="6323423" cy="192405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34312" cy="1927363"/>
                    </a:xfrm>
                    <a:prstGeom prst="rect">
                      <a:avLst/>
                    </a:prstGeom>
                    <a:noFill/>
                    <a:ln>
                      <a:noFill/>
                    </a:ln>
                  </pic:spPr>
                </pic:pic>
              </a:graphicData>
            </a:graphic>
          </wp:inline>
        </w:drawing>
      </w:r>
    </w:p>
    <w:p w14:paraId="289931F0" w14:textId="77777777" w:rsidR="00350565" w:rsidRDefault="00350565" w:rsidP="00350565">
      <w:pPr>
        <w:ind w:left="720"/>
        <w:rPr>
          <w:rFonts w:ascii="Calibri" w:hAnsi="Calibri" w:cs="Calibri"/>
          <w:b/>
          <w:color w:val="0070C0"/>
          <w:sz w:val="24"/>
          <w:szCs w:val="24"/>
        </w:rPr>
      </w:pPr>
    </w:p>
    <w:p w14:paraId="181D9B68" w14:textId="37F1E20F" w:rsidR="00350565" w:rsidRDefault="00350565" w:rsidP="00350565">
      <w:pPr>
        <w:ind w:left="720"/>
        <w:rPr>
          <w:rFonts w:ascii="Calibri" w:hAnsi="Calibri" w:cs="Calibri"/>
          <w:b/>
          <w:color w:val="0070C0"/>
          <w:sz w:val="24"/>
          <w:szCs w:val="24"/>
        </w:rPr>
      </w:pPr>
    </w:p>
    <w:p w14:paraId="42DFA8BE" w14:textId="77777777" w:rsidR="00350565" w:rsidRDefault="00350565" w:rsidP="00350565">
      <w:pPr>
        <w:ind w:left="720"/>
        <w:rPr>
          <w:rFonts w:ascii="Calibri" w:hAnsi="Calibri" w:cs="Calibri"/>
          <w:b/>
          <w:color w:val="0070C0"/>
          <w:sz w:val="24"/>
          <w:szCs w:val="24"/>
        </w:rPr>
      </w:pPr>
    </w:p>
    <w:p w14:paraId="19595133" w14:textId="77777777" w:rsidR="00350565" w:rsidRDefault="00350565" w:rsidP="00350565">
      <w:pPr>
        <w:ind w:left="720"/>
        <w:rPr>
          <w:rFonts w:ascii="Calibri" w:hAnsi="Calibri" w:cs="Calibri"/>
          <w:b/>
          <w:color w:val="0070C0"/>
          <w:sz w:val="24"/>
          <w:szCs w:val="24"/>
        </w:rPr>
      </w:pPr>
    </w:p>
    <w:p w14:paraId="128CD2A5" w14:textId="77777777" w:rsidR="00350565" w:rsidRDefault="00350565" w:rsidP="00350565">
      <w:pPr>
        <w:ind w:left="720"/>
        <w:rPr>
          <w:rFonts w:ascii="Calibri" w:hAnsi="Calibri" w:cs="Calibri"/>
          <w:b/>
          <w:color w:val="0070C0"/>
          <w:sz w:val="24"/>
          <w:szCs w:val="24"/>
        </w:rPr>
      </w:pPr>
    </w:p>
    <w:p w14:paraId="70E9E185" w14:textId="77777777" w:rsidR="00350565" w:rsidRDefault="00350565" w:rsidP="00350565">
      <w:pPr>
        <w:ind w:left="720"/>
        <w:rPr>
          <w:rFonts w:ascii="Calibri" w:hAnsi="Calibri" w:cs="Calibri"/>
          <w:b/>
          <w:color w:val="0070C0"/>
          <w:sz w:val="24"/>
          <w:szCs w:val="24"/>
        </w:rPr>
      </w:pPr>
    </w:p>
    <w:p w14:paraId="577DA8AC" w14:textId="77777777" w:rsidR="00350565" w:rsidRDefault="00350565" w:rsidP="00350565">
      <w:pPr>
        <w:ind w:left="720"/>
        <w:rPr>
          <w:rFonts w:ascii="Calibri" w:hAnsi="Calibri" w:cs="Calibri"/>
          <w:b/>
          <w:color w:val="0070C0"/>
          <w:sz w:val="24"/>
          <w:szCs w:val="24"/>
        </w:rPr>
      </w:pPr>
    </w:p>
    <w:p w14:paraId="01EB9154" w14:textId="77777777" w:rsidR="00350565" w:rsidRDefault="00350565" w:rsidP="00350565">
      <w:pPr>
        <w:ind w:left="720"/>
        <w:rPr>
          <w:rFonts w:ascii="Calibri" w:hAnsi="Calibri" w:cs="Calibri"/>
          <w:b/>
          <w:color w:val="0070C0"/>
          <w:sz w:val="24"/>
          <w:szCs w:val="24"/>
        </w:rPr>
      </w:pPr>
      <w:bookmarkStart w:id="0" w:name="_GoBack"/>
      <w:bookmarkEnd w:id="0"/>
    </w:p>
    <w:p w14:paraId="73DF5BD3" w14:textId="02955661" w:rsidR="00350565" w:rsidRDefault="00206667" w:rsidP="00350565">
      <w:pPr>
        <w:ind w:left="720"/>
        <w:rPr>
          <w:rFonts w:ascii="Calibri" w:hAnsi="Calibri" w:cs="Calibri"/>
          <w:b/>
          <w:color w:val="0070C0"/>
          <w:sz w:val="24"/>
          <w:szCs w:val="24"/>
        </w:rPr>
      </w:pPr>
      <w:r>
        <w:rPr>
          <w:rFonts w:ascii="Calibri" w:hAnsi="Calibri" w:cs="Calibri"/>
          <w:b/>
          <w:color w:val="0070C0"/>
          <w:sz w:val="24"/>
          <w:szCs w:val="24"/>
        </w:rPr>
        <w:t xml:space="preserve">Based on the examination and analysis of the summary results using the </w:t>
      </w:r>
      <w:r w:rsidR="00EC3273">
        <w:rPr>
          <w:rFonts w:ascii="Calibri" w:hAnsi="Calibri" w:cs="Calibri"/>
          <w:b/>
          <w:i/>
          <w:iCs/>
          <w:color w:val="0070C0"/>
          <w:sz w:val="24"/>
          <w:szCs w:val="24"/>
        </w:rPr>
        <w:t>Capability</w:t>
      </w:r>
      <w:r w:rsidR="00855E9C" w:rsidRPr="00C17552">
        <w:rPr>
          <w:rFonts w:ascii="Calibri" w:hAnsi="Calibri" w:cs="Calibri"/>
          <w:b/>
          <w:i/>
          <w:iCs/>
          <w:color w:val="0070C0"/>
          <w:sz w:val="24"/>
          <w:szCs w:val="24"/>
        </w:rPr>
        <w:t xml:space="preserve"> </w:t>
      </w:r>
      <w:r w:rsidRPr="00C17552">
        <w:rPr>
          <w:rFonts w:ascii="Calibri" w:hAnsi="Calibri" w:cs="Calibri"/>
          <w:b/>
          <w:i/>
          <w:iCs/>
          <w:color w:val="0070C0"/>
          <w:sz w:val="24"/>
          <w:szCs w:val="24"/>
        </w:rPr>
        <w:t xml:space="preserve">Maturity Assessment </w:t>
      </w:r>
      <w:r w:rsidR="00855E9C" w:rsidRPr="00C17552">
        <w:rPr>
          <w:rFonts w:ascii="Calibri" w:hAnsi="Calibri" w:cs="Calibri"/>
          <w:b/>
          <w:i/>
          <w:iCs/>
          <w:color w:val="0070C0"/>
          <w:sz w:val="24"/>
          <w:szCs w:val="24"/>
        </w:rPr>
        <w:t>Checklist</w:t>
      </w:r>
      <w:r w:rsidR="00505CCF">
        <w:rPr>
          <w:rFonts w:ascii="Calibri" w:hAnsi="Calibri" w:cs="Calibri"/>
          <w:b/>
          <w:color w:val="0070C0"/>
          <w:sz w:val="24"/>
          <w:szCs w:val="24"/>
        </w:rPr>
        <w:t>,</w:t>
      </w:r>
      <w:r>
        <w:rPr>
          <w:rFonts w:ascii="Calibri" w:hAnsi="Calibri" w:cs="Calibri"/>
          <w:b/>
          <w:color w:val="0070C0"/>
          <w:sz w:val="24"/>
          <w:szCs w:val="24"/>
        </w:rPr>
        <w:t xml:space="preserve"> we identified a concern with one of the sub-contractors identified for this effort (Interloc</w:t>
      </w:r>
      <w:r w:rsidR="00F96E4F">
        <w:rPr>
          <w:rFonts w:ascii="Calibri" w:hAnsi="Calibri" w:cs="Calibri"/>
          <w:b/>
          <w:color w:val="0070C0"/>
          <w:sz w:val="24"/>
          <w:szCs w:val="24"/>
        </w:rPr>
        <w:t>hen</w:t>
      </w:r>
      <w:r>
        <w:rPr>
          <w:rFonts w:ascii="Calibri" w:hAnsi="Calibri" w:cs="Calibri"/>
          <w:b/>
          <w:color w:val="0070C0"/>
          <w:sz w:val="24"/>
          <w:szCs w:val="24"/>
        </w:rPr>
        <w:t xml:space="preserve"> Technologies, Inc.)  The concern relates to the sub-</w:t>
      </w:r>
      <w:r w:rsidR="00D724DF">
        <w:rPr>
          <w:rFonts w:ascii="Calibri" w:hAnsi="Calibri" w:cs="Calibri"/>
          <w:b/>
          <w:color w:val="0070C0"/>
          <w:sz w:val="24"/>
          <w:szCs w:val="24"/>
        </w:rPr>
        <w:t>contractor’s</w:t>
      </w:r>
      <w:r>
        <w:rPr>
          <w:rFonts w:ascii="Calibri" w:hAnsi="Calibri" w:cs="Calibri"/>
          <w:b/>
          <w:color w:val="0070C0"/>
          <w:sz w:val="24"/>
          <w:szCs w:val="24"/>
        </w:rPr>
        <w:t xml:space="preserve"> limited maturity in terms of the number of </w:t>
      </w:r>
      <w:r w:rsidR="00D724DF">
        <w:rPr>
          <w:rFonts w:ascii="Calibri" w:hAnsi="Calibri" w:cs="Calibri"/>
          <w:b/>
          <w:color w:val="0070C0"/>
          <w:sz w:val="24"/>
          <w:szCs w:val="24"/>
        </w:rPr>
        <w:t xml:space="preserve">performance </w:t>
      </w:r>
      <w:r>
        <w:rPr>
          <w:rFonts w:ascii="Calibri" w:hAnsi="Calibri" w:cs="Calibri"/>
          <w:b/>
          <w:color w:val="0070C0"/>
          <w:sz w:val="24"/>
          <w:szCs w:val="24"/>
        </w:rPr>
        <w:t xml:space="preserve">metrics that </w:t>
      </w:r>
      <w:r w:rsidR="00D724DF">
        <w:rPr>
          <w:rFonts w:ascii="Calibri" w:hAnsi="Calibri" w:cs="Calibri"/>
          <w:b/>
          <w:color w:val="0070C0"/>
          <w:sz w:val="24"/>
          <w:szCs w:val="24"/>
        </w:rPr>
        <w:t xml:space="preserve">are </w:t>
      </w:r>
      <w:r>
        <w:rPr>
          <w:rFonts w:ascii="Calibri" w:hAnsi="Calibri" w:cs="Calibri"/>
          <w:b/>
          <w:color w:val="0070C0"/>
          <w:sz w:val="24"/>
          <w:szCs w:val="24"/>
        </w:rPr>
        <w:t xml:space="preserve">not </w:t>
      </w:r>
      <w:r w:rsidR="00D724DF">
        <w:rPr>
          <w:rFonts w:ascii="Calibri" w:hAnsi="Calibri" w:cs="Calibri"/>
          <w:b/>
          <w:color w:val="0070C0"/>
          <w:sz w:val="24"/>
          <w:szCs w:val="24"/>
        </w:rPr>
        <w:t xml:space="preserve">rated as </w:t>
      </w:r>
      <w:r>
        <w:rPr>
          <w:rFonts w:ascii="Calibri" w:hAnsi="Calibri" w:cs="Calibri"/>
          <w:b/>
          <w:color w:val="0070C0"/>
          <w:sz w:val="24"/>
          <w:szCs w:val="24"/>
        </w:rPr>
        <w:t xml:space="preserve">optimized.  While </w:t>
      </w:r>
      <w:r w:rsidR="00D724DF">
        <w:rPr>
          <w:rFonts w:ascii="Calibri" w:hAnsi="Calibri" w:cs="Calibri"/>
          <w:b/>
          <w:color w:val="0070C0"/>
          <w:sz w:val="24"/>
          <w:szCs w:val="24"/>
        </w:rPr>
        <w:t>this c</w:t>
      </w:r>
      <w:r>
        <w:rPr>
          <w:rFonts w:ascii="Calibri" w:hAnsi="Calibri" w:cs="Calibri"/>
          <w:b/>
          <w:color w:val="0070C0"/>
          <w:sz w:val="24"/>
          <w:szCs w:val="24"/>
        </w:rPr>
        <w:t xml:space="preserve">oncern exists, the </w:t>
      </w:r>
      <w:r w:rsidR="00D724DF">
        <w:rPr>
          <w:rFonts w:ascii="Calibri" w:hAnsi="Calibri" w:cs="Calibri"/>
          <w:b/>
          <w:color w:val="0070C0"/>
          <w:sz w:val="24"/>
          <w:szCs w:val="24"/>
        </w:rPr>
        <w:t>sub-contractor</w:t>
      </w:r>
      <w:r>
        <w:rPr>
          <w:rFonts w:ascii="Calibri" w:hAnsi="Calibri" w:cs="Calibri"/>
          <w:b/>
          <w:color w:val="0070C0"/>
          <w:sz w:val="24"/>
          <w:szCs w:val="24"/>
        </w:rPr>
        <w:t xml:space="preserve"> is an 8 (A) Contractor,</w:t>
      </w:r>
      <w:r w:rsidR="00D724DF">
        <w:rPr>
          <w:rFonts w:ascii="Calibri" w:hAnsi="Calibri" w:cs="Calibri"/>
          <w:b/>
          <w:color w:val="0070C0"/>
          <w:sz w:val="24"/>
          <w:szCs w:val="24"/>
        </w:rPr>
        <w:t xml:space="preserve"> with preference provided by </w:t>
      </w:r>
      <w:r w:rsidR="00F96E4F">
        <w:rPr>
          <w:rFonts w:ascii="Calibri" w:hAnsi="Calibri" w:cs="Calibri"/>
          <w:b/>
          <w:color w:val="0070C0"/>
          <w:sz w:val="24"/>
          <w:szCs w:val="24"/>
        </w:rPr>
        <w:t>Detroit Defense</w:t>
      </w:r>
      <w:r w:rsidR="00D724DF">
        <w:rPr>
          <w:rFonts w:ascii="Calibri" w:hAnsi="Calibri" w:cs="Calibri"/>
          <w:b/>
          <w:color w:val="0070C0"/>
          <w:sz w:val="24"/>
          <w:szCs w:val="24"/>
        </w:rPr>
        <w:t>.  The Prime Contractor will implement additional contract surveillance controls to ensure that all work efforts performed under the contract along with any respective contract modifications will be met and at a level consistent with the performance requirements established for the work effort.</w:t>
      </w:r>
    </w:p>
    <w:p w14:paraId="5AD29A13" w14:textId="77777777" w:rsidR="00D724DF" w:rsidRPr="00D82BA3" w:rsidRDefault="00D724DF" w:rsidP="00350565">
      <w:pPr>
        <w:ind w:left="720"/>
        <w:rPr>
          <w:rFonts w:ascii="Calibri" w:hAnsi="Calibri" w:cs="Calibri"/>
          <w:b/>
          <w:color w:val="0070C0"/>
          <w:sz w:val="24"/>
          <w:szCs w:val="24"/>
        </w:rPr>
      </w:pPr>
    </w:p>
    <w:sectPr w:rsidR="00D724DF" w:rsidRPr="00D82BA3" w:rsidSect="00331461">
      <w:headerReference w:type="default"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8B67A2" w14:textId="77777777" w:rsidR="00951B97" w:rsidRDefault="00951B97" w:rsidP="00350565">
      <w:r>
        <w:separator/>
      </w:r>
    </w:p>
  </w:endnote>
  <w:endnote w:type="continuationSeparator" w:id="0">
    <w:p w14:paraId="462B0AC2" w14:textId="77777777" w:rsidR="00951B97" w:rsidRDefault="00951B97" w:rsidP="00350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9514403"/>
      <w:docPartObj>
        <w:docPartGallery w:val="Page Numbers (Bottom of Page)"/>
        <w:docPartUnique/>
      </w:docPartObj>
    </w:sdtPr>
    <w:sdtEndPr>
      <w:rPr>
        <w:noProof/>
      </w:rPr>
    </w:sdtEndPr>
    <w:sdtContent>
      <w:p w14:paraId="0640EF00" w14:textId="7C3870CD" w:rsidR="00331461" w:rsidRDefault="0033146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1A2254E" w14:textId="77777777" w:rsidR="00331461" w:rsidRDefault="003314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4C99D2" w14:textId="77777777" w:rsidR="00951B97" w:rsidRDefault="00951B97" w:rsidP="00350565">
      <w:r>
        <w:separator/>
      </w:r>
    </w:p>
  </w:footnote>
  <w:footnote w:type="continuationSeparator" w:id="0">
    <w:p w14:paraId="5493589E" w14:textId="77777777" w:rsidR="00951B97" w:rsidRDefault="00951B97" w:rsidP="00350565">
      <w:r>
        <w:continuationSeparator/>
      </w:r>
    </w:p>
  </w:footnote>
  <w:footnote w:id="1">
    <w:p w14:paraId="040713F7" w14:textId="77777777" w:rsidR="00350565" w:rsidRDefault="00350565">
      <w:pPr>
        <w:pStyle w:val="FootnoteText"/>
      </w:pPr>
      <w:r>
        <w:rPr>
          <w:rStyle w:val="FootnoteReference"/>
        </w:rPr>
        <w:footnoteRef/>
      </w:r>
      <w:r>
        <w:t xml:space="preserve"> Risk scores were utilized using a numerical range that included: </w:t>
      </w:r>
      <w:r w:rsidRPr="00350565">
        <w:t>Not Done</w:t>
      </w:r>
      <w:r>
        <w:t xml:space="preserve"> (0), </w:t>
      </w:r>
      <w:r w:rsidRPr="00350565">
        <w:t>Performed</w:t>
      </w:r>
      <w:r>
        <w:t xml:space="preserve"> (1), </w:t>
      </w:r>
      <w:r w:rsidRPr="00350565">
        <w:t>Managed</w:t>
      </w:r>
      <w:r>
        <w:t xml:space="preserve"> (2),  </w:t>
      </w:r>
      <w:r w:rsidRPr="00350565">
        <w:t>Predictable</w:t>
      </w:r>
      <w:r>
        <w:t xml:space="preserve"> (3), and </w:t>
      </w:r>
      <w:r w:rsidRPr="00350565">
        <w:t>Optimized</w:t>
      </w:r>
      <w:r>
        <w:t xml:space="preserve">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CF692" w14:textId="77777777" w:rsidR="00325FB4" w:rsidRPr="00325FB4" w:rsidRDefault="00325FB4" w:rsidP="00325FB4">
    <w:pPr>
      <w:rPr>
        <w:rFonts w:eastAsia="Arial"/>
      </w:rPr>
    </w:pPr>
  </w:p>
  <w:p w14:paraId="236833AE" w14:textId="77777777" w:rsidR="00325FB4" w:rsidRPr="00325FB4" w:rsidRDefault="00325FB4" w:rsidP="00325FB4">
    <w:pPr>
      <w:rPr>
        <w:rFonts w:eastAsia="Arial"/>
      </w:rPr>
    </w:pPr>
  </w:p>
  <w:p w14:paraId="3AAFAC04" w14:textId="77777777" w:rsidR="00325FB4" w:rsidRDefault="00325F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F5FC8"/>
    <w:multiLevelType w:val="hybridMultilevel"/>
    <w:tmpl w:val="946EB650"/>
    <w:lvl w:ilvl="0" w:tplc="D45A2CF4">
      <w:start w:val="1"/>
      <w:numFmt w:val="decimal"/>
      <w:lvlText w:val="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5247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53346F"/>
    <w:multiLevelType w:val="hybridMultilevel"/>
    <w:tmpl w:val="7DFE1EDE"/>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D80222"/>
    <w:multiLevelType w:val="hybridMultilevel"/>
    <w:tmpl w:val="6C0212FE"/>
    <w:lvl w:ilvl="0" w:tplc="95B48E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4873E7E"/>
    <w:multiLevelType w:val="hybridMultilevel"/>
    <w:tmpl w:val="A80C76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645071F"/>
    <w:multiLevelType w:val="hybridMultilevel"/>
    <w:tmpl w:val="8B98D45A"/>
    <w:lvl w:ilvl="0" w:tplc="9F4A4538">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B664931"/>
    <w:multiLevelType w:val="hybridMultilevel"/>
    <w:tmpl w:val="5EBE2494"/>
    <w:lvl w:ilvl="0" w:tplc="9F4A45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35A6EE8"/>
    <w:multiLevelType w:val="hybridMultilevel"/>
    <w:tmpl w:val="DEF031D4"/>
    <w:lvl w:ilvl="0" w:tplc="4748FA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5543D74"/>
    <w:multiLevelType w:val="hybridMultilevel"/>
    <w:tmpl w:val="35CA1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A109BF"/>
    <w:multiLevelType w:val="hybridMultilevel"/>
    <w:tmpl w:val="48CAC668"/>
    <w:lvl w:ilvl="0" w:tplc="0504C31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4F9026B"/>
    <w:multiLevelType w:val="hybridMultilevel"/>
    <w:tmpl w:val="F188B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974D9D"/>
    <w:multiLevelType w:val="hybridMultilevel"/>
    <w:tmpl w:val="7EDEA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CD0656"/>
    <w:multiLevelType w:val="hybridMultilevel"/>
    <w:tmpl w:val="A3207776"/>
    <w:lvl w:ilvl="0" w:tplc="9F4A453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16D472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C854396"/>
    <w:multiLevelType w:val="hybridMultilevel"/>
    <w:tmpl w:val="904C3E4C"/>
    <w:lvl w:ilvl="0" w:tplc="94E46F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D9106DB"/>
    <w:multiLevelType w:val="hybridMultilevel"/>
    <w:tmpl w:val="BB10F24A"/>
    <w:lvl w:ilvl="0" w:tplc="9F4A45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261BB0"/>
    <w:multiLevelType w:val="hybridMultilevel"/>
    <w:tmpl w:val="021C6C3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125460"/>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56D868D9"/>
    <w:multiLevelType w:val="hybridMultilevel"/>
    <w:tmpl w:val="E7ECF48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C4212C5"/>
    <w:multiLevelType w:val="hybridMultilevel"/>
    <w:tmpl w:val="EB408D44"/>
    <w:lvl w:ilvl="0" w:tplc="61D48A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D066998"/>
    <w:multiLevelType w:val="hybridMultilevel"/>
    <w:tmpl w:val="5844C3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345E4E"/>
    <w:multiLevelType w:val="hybridMultilevel"/>
    <w:tmpl w:val="6016ACF0"/>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29324C"/>
    <w:multiLevelType w:val="hybridMultilevel"/>
    <w:tmpl w:val="B53C717A"/>
    <w:lvl w:ilvl="0" w:tplc="D45A2CF4">
      <w:start w:val="1"/>
      <w:numFmt w:val="decimal"/>
      <w:lvlText w:val="A.%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7072C7"/>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6D1F1380"/>
    <w:multiLevelType w:val="hybridMultilevel"/>
    <w:tmpl w:val="66A2C43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6F240039"/>
    <w:multiLevelType w:val="hybridMultilevel"/>
    <w:tmpl w:val="641AD2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D52F3B"/>
    <w:multiLevelType w:val="hybridMultilevel"/>
    <w:tmpl w:val="4958387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74C869F0"/>
    <w:multiLevelType w:val="hybridMultilevel"/>
    <w:tmpl w:val="43EC4408"/>
    <w:lvl w:ilvl="0" w:tplc="159C6A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7EEB4EAB"/>
    <w:multiLevelType w:val="hybridMultilevel"/>
    <w:tmpl w:val="68CA6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25"/>
  </w:num>
  <w:num w:numId="4">
    <w:abstractNumId w:val="20"/>
  </w:num>
  <w:num w:numId="5">
    <w:abstractNumId w:val="28"/>
  </w:num>
  <w:num w:numId="6">
    <w:abstractNumId w:val="2"/>
  </w:num>
  <w:num w:numId="7">
    <w:abstractNumId w:val="21"/>
  </w:num>
  <w:num w:numId="8">
    <w:abstractNumId w:val="8"/>
  </w:num>
  <w:num w:numId="9">
    <w:abstractNumId w:val="16"/>
  </w:num>
  <w:num w:numId="10">
    <w:abstractNumId w:val="5"/>
  </w:num>
  <w:num w:numId="11">
    <w:abstractNumId w:val="6"/>
  </w:num>
  <w:num w:numId="12">
    <w:abstractNumId w:val="7"/>
  </w:num>
  <w:num w:numId="13">
    <w:abstractNumId w:val="12"/>
  </w:num>
  <w:num w:numId="14">
    <w:abstractNumId w:val="19"/>
  </w:num>
  <w:num w:numId="15">
    <w:abstractNumId w:val="3"/>
  </w:num>
  <w:num w:numId="16">
    <w:abstractNumId w:val="9"/>
  </w:num>
  <w:num w:numId="17">
    <w:abstractNumId w:val="27"/>
  </w:num>
  <w:num w:numId="18">
    <w:abstractNumId w:val="14"/>
  </w:num>
  <w:num w:numId="19">
    <w:abstractNumId w:val="1"/>
  </w:num>
  <w:num w:numId="20">
    <w:abstractNumId w:val="13"/>
  </w:num>
  <w:num w:numId="21">
    <w:abstractNumId w:val="22"/>
  </w:num>
  <w:num w:numId="22">
    <w:abstractNumId w:val="0"/>
  </w:num>
  <w:num w:numId="23">
    <w:abstractNumId w:val="18"/>
  </w:num>
  <w:num w:numId="24">
    <w:abstractNumId w:val="24"/>
  </w:num>
  <w:num w:numId="25">
    <w:abstractNumId w:val="4"/>
  </w:num>
  <w:num w:numId="26">
    <w:abstractNumId w:val="17"/>
  </w:num>
  <w:num w:numId="27">
    <w:abstractNumId w:val="23"/>
  </w:num>
  <w:num w:numId="28">
    <w:abstractNumId w:val="15"/>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546"/>
    <w:rsid w:val="00071A1B"/>
    <w:rsid w:val="000944AE"/>
    <w:rsid w:val="000C4D53"/>
    <w:rsid w:val="000D25E0"/>
    <w:rsid w:val="00116A27"/>
    <w:rsid w:val="00125729"/>
    <w:rsid w:val="001A1F95"/>
    <w:rsid w:val="00206667"/>
    <w:rsid w:val="002C34BA"/>
    <w:rsid w:val="00325FB4"/>
    <w:rsid w:val="00331461"/>
    <w:rsid w:val="00350565"/>
    <w:rsid w:val="00435E5F"/>
    <w:rsid w:val="00447F01"/>
    <w:rsid w:val="00505CCF"/>
    <w:rsid w:val="0057224E"/>
    <w:rsid w:val="005830BE"/>
    <w:rsid w:val="005965C4"/>
    <w:rsid w:val="006006D2"/>
    <w:rsid w:val="00640F7E"/>
    <w:rsid w:val="006629DE"/>
    <w:rsid w:val="00764B7F"/>
    <w:rsid w:val="00776CD6"/>
    <w:rsid w:val="007E0B8F"/>
    <w:rsid w:val="007E7882"/>
    <w:rsid w:val="007F68B8"/>
    <w:rsid w:val="00847FB9"/>
    <w:rsid w:val="00855E9C"/>
    <w:rsid w:val="008C130D"/>
    <w:rsid w:val="00926569"/>
    <w:rsid w:val="0093157F"/>
    <w:rsid w:val="00951B97"/>
    <w:rsid w:val="00966821"/>
    <w:rsid w:val="009A2C22"/>
    <w:rsid w:val="00A315BC"/>
    <w:rsid w:val="00A83531"/>
    <w:rsid w:val="00A9595C"/>
    <w:rsid w:val="00AA09D9"/>
    <w:rsid w:val="00AE0C53"/>
    <w:rsid w:val="00AE1A17"/>
    <w:rsid w:val="00B009D3"/>
    <w:rsid w:val="00B017CB"/>
    <w:rsid w:val="00B72052"/>
    <w:rsid w:val="00B7360A"/>
    <w:rsid w:val="00B77A86"/>
    <w:rsid w:val="00BC11BD"/>
    <w:rsid w:val="00BC4A5F"/>
    <w:rsid w:val="00BE5546"/>
    <w:rsid w:val="00C115B7"/>
    <w:rsid w:val="00C17552"/>
    <w:rsid w:val="00C3135C"/>
    <w:rsid w:val="00CB1F01"/>
    <w:rsid w:val="00D26CED"/>
    <w:rsid w:val="00D35ECE"/>
    <w:rsid w:val="00D701FD"/>
    <w:rsid w:val="00D72287"/>
    <w:rsid w:val="00D724DF"/>
    <w:rsid w:val="00D7262A"/>
    <w:rsid w:val="00D77DA7"/>
    <w:rsid w:val="00D82BA3"/>
    <w:rsid w:val="00DB6033"/>
    <w:rsid w:val="00DE2588"/>
    <w:rsid w:val="00DE7C18"/>
    <w:rsid w:val="00E1505E"/>
    <w:rsid w:val="00E24714"/>
    <w:rsid w:val="00E45D16"/>
    <w:rsid w:val="00E50814"/>
    <w:rsid w:val="00E8339C"/>
    <w:rsid w:val="00EB16B9"/>
    <w:rsid w:val="00EB5928"/>
    <w:rsid w:val="00EC3273"/>
    <w:rsid w:val="00F80CBA"/>
    <w:rsid w:val="00F96E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574AE"/>
  <w15:chartTrackingRefBased/>
  <w15:docId w15:val="{99B4C396-8B4F-4BA7-B92A-AEC7EA920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54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BE55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5546"/>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E5546"/>
    <w:rPr>
      <w:color w:val="0000FF"/>
      <w:u w:val="single"/>
    </w:rPr>
  </w:style>
  <w:style w:type="paragraph" w:customStyle="1" w:styleId="MediumGrid1-Accent21">
    <w:name w:val="Medium Grid 1 - Accent 21"/>
    <w:basedOn w:val="Normal"/>
    <w:rsid w:val="00BE5546"/>
    <w:pPr>
      <w:suppressAutoHyphens/>
      <w:spacing w:after="200" w:line="276" w:lineRule="auto"/>
      <w:ind w:left="720"/>
    </w:pPr>
    <w:rPr>
      <w:rFonts w:ascii="Calibri" w:eastAsia="Calibri" w:hAnsi="Calibri"/>
      <w:sz w:val="22"/>
      <w:szCs w:val="22"/>
      <w:lang w:eastAsia="ar-SA"/>
    </w:rPr>
  </w:style>
  <w:style w:type="paragraph" w:styleId="ListParagraph">
    <w:name w:val="List Paragraph"/>
    <w:basedOn w:val="Normal"/>
    <w:uiPriority w:val="34"/>
    <w:qFormat/>
    <w:rsid w:val="00BE5546"/>
    <w:pPr>
      <w:ind w:left="720"/>
      <w:contextualSpacing/>
    </w:pPr>
  </w:style>
  <w:style w:type="paragraph" w:styleId="IntenseQuote">
    <w:name w:val="Intense Quote"/>
    <w:basedOn w:val="Normal"/>
    <w:next w:val="Normal"/>
    <w:link w:val="IntenseQuoteChar"/>
    <w:uiPriority w:val="30"/>
    <w:qFormat/>
    <w:rsid w:val="00BE554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E5546"/>
    <w:rPr>
      <w:rFonts w:ascii="Times New Roman" w:eastAsia="Times New Roman" w:hAnsi="Times New Roman" w:cs="Times New Roman"/>
      <w:i/>
      <w:iCs/>
      <w:color w:val="5B9BD5" w:themeColor="accent1"/>
      <w:sz w:val="20"/>
      <w:szCs w:val="20"/>
    </w:rPr>
  </w:style>
  <w:style w:type="character" w:customStyle="1" w:styleId="Heading1Char">
    <w:name w:val="Heading 1 Char"/>
    <w:basedOn w:val="DefaultParagraphFont"/>
    <w:link w:val="Heading1"/>
    <w:uiPriority w:val="9"/>
    <w:rsid w:val="00BE554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E5546"/>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6629DE"/>
    <w:rPr>
      <w:color w:val="954F72" w:themeColor="followedHyperlink"/>
      <w:u w:val="single"/>
    </w:rPr>
  </w:style>
  <w:style w:type="paragraph" w:styleId="FootnoteText">
    <w:name w:val="footnote text"/>
    <w:basedOn w:val="Normal"/>
    <w:link w:val="FootnoteTextChar"/>
    <w:uiPriority w:val="99"/>
    <w:semiHidden/>
    <w:unhideWhenUsed/>
    <w:rsid w:val="00350565"/>
  </w:style>
  <w:style w:type="character" w:customStyle="1" w:styleId="FootnoteTextChar">
    <w:name w:val="Footnote Text Char"/>
    <w:basedOn w:val="DefaultParagraphFont"/>
    <w:link w:val="FootnoteText"/>
    <w:uiPriority w:val="99"/>
    <w:semiHidden/>
    <w:rsid w:val="0035056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350565"/>
    <w:rPr>
      <w:vertAlign w:val="superscript"/>
    </w:rPr>
  </w:style>
  <w:style w:type="paragraph" w:styleId="Header">
    <w:name w:val="header"/>
    <w:basedOn w:val="Normal"/>
    <w:link w:val="HeaderChar"/>
    <w:uiPriority w:val="99"/>
    <w:unhideWhenUsed/>
    <w:rsid w:val="00325FB4"/>
    <w:pPr>
      <w:tabs>
        <w:tab w:val="center" w:pos="4680"/>
        <w:tab w:val="right" w:pos="9360"/>
      </w:tabs>
    </w:pPr>
  </w:style>
  <w:style w:type="character" w:customStyle="1" w:styleId="HeaderChar">
    <w:name w:val="Header Char"/>
    <w:basedOn w:val="DefaultParagraphFont"/>
    <w:link w:val="Header"/>
    <w:uiPriority w:val="99"/>
    <w:rsid w:val="00325FB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25FB4"/>
    <w:pPr>
      <w:tabs>
        <w:tab w:val="center" w:pos="4680"/>
        <w:tab w:val="right" w:pos="9360"/>
      </w:tabs>
    </w:pPr>
  </w:style>
  <w:style w:type="character" w:customStyle="1" w:styleId="FooterChar">
    <w:name w:val="Footer Char"/>
    <w:basedOn w:val="DefaultParagraphFont"/>
    <w:link w:val="Footer"/>
    <w:uiPriority w:val="99"/>
    <w:rsid w:val="00325FB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D3964-73BD-40B0-8190-D65AC56D9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554</Words>
  <Characters>3109</Characters>
  <Application>Microsoft Office Word</Application>
  <DocSecurity>0</DocSecurity>
  <Lines>97</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shoemaker</dc:creator>
  <cp:keywords/>
  <dc:description/>
  <cp:lastModifiedBy>Anne Kohnke</cp:lastModifiedBy>
  <cp:revision>15</cp:revision>
  <dcterms:created xsi:type="dcterms:W3CDTF">2020-01-03T20:18:00Z</dcterms:created>
  <dcterms:modified xsi:type="dcterms:W3CDTF">2020-01-20T20:40:00Z</dcterms:modified>
</cp:coreProperties>
</file>